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rPr>
          <w:rFonts w:ascii="方正仿宋_GBK" w:eastAsia="方正仿宋_GBK"/>
          <w:sz w:val="32"/>
        </w:rPr>
      </w:pPr>
    </w:p>
    <w:p>
      <w:pPr>
        <w:snapToGrid w:val="0"/>
        <w:rPr>
          <w:rFonts w:ascii="方正仿宋_GBK" w:eastAsia="方正仿宋_GBK"/>
          <w:sz w:val="32"/>
        </w:rPr>
      </w:pPr>
    </w:p>
    <w:p>
      <w:pPr>
        <w:snapToGrid w:val="0"/>
        <w:rPr>
          <w:rFonts w:ascii="方正仿宋_GBK" w:eastAsia="方正仿宋_GBK"/>
          <w:sz w:val="32"/>
        </w:rPr>
      </w:pPr>
    </w:p>
    <w:p>
      <w:pPr>
        <w:snapToGrid w:val="0"/>
        <w:jc w:val="center"/>
        <w:rPr>
          <w:rFonts w:eastAsia="方正小标宋_GBK"/>
          <w:b/>
          <w:color w:val="FF0000"/>
          <w:spacing w:val="40"/>
          <w:w w:val="65"/>
          <w:sz w:val="130"/>
          <w:szCs w:val="130"/>
        </w:rPr>
      </w:pPr>
      <w:r>
        <w:rPr>
          <w:rFonts w:eastAsia="方正小标宋_GBK"/>
          <w:b/>
          <w:color w:val="FF0000"/>
          <w:spacing w:val="40"/>
          <w:w w:val="65"/>
          <w:sz w:val="130"/>
          <w:szCs w:val="130"/>
        </w:rPr>
        <w:t>南通市司法局文件</w:t>
      </w:r>
    </w:p>
    <w:p>
      <w:pPr>
        <w:snapToGrid w:val="0"/>
        <w:jc w:val="center"/>
        <w:rPr>
          <w:rFonts w:ascii="方正仿宋_GBK" w:eastAsia="方正仿宋_GBK"/>
          <w:sz w:val="32"/>
        </w:rPr>
      </w:pPr>
    </w:p>
    <w:p>
      <w:pPr>
        <w:snapToGrid w:val="0"/>
        <w:spacing w:afterLines="100"/>
        <w:jc w:val="center"/>
        <w:rPr>
          <w:rFonts w:eastAsia="方正仿宋_GBK"/>
          <w:sz w:val="32"/>
          <w:szCs w:val="32"/>
        </w:rPr>
      </w:pPr>
      <w:r>
        <w:rPr>
          <w:rFonts w:eastAsia="方正仿宋_GBK"/>
          <w:sz w:val="32"/>
          <w:szCs w:val="32"/>
        </w:rPr>
        <w:t>通司发〔20</w:t>
      </w:r>
      <w:r>
        <w:rPr>
          <w:rFonts w:hint="eastAsia" w:eastAsia="方正仿宋_GBK"/>
          <w:sz w:val="32"/>
          <w:szCs w:val="32"/>
        </w:rPr>
        <w:t>22</w:t>
      </w:r>
      <w:r>
        <w:rPr>
          <w:rFonts w:eastAsia="方正仿宋_GBK"/>
          <w:sz w:val="32"/>
          <w:szCs w:val="32"/>
        </w:rPr>
        <w:t>〕</w:t>
      </w:r>
      <w:r>
        <w:rPr>
          <w:rFonts w:hint="eastAsia" w:eastAsia="方正仿宋_GBK"/>
          <w:sz w:val="32"/>
          <w:szCs w:val="32"/>
          <w:lang w:val="en-US" w:eastAsia="zh-CN"/>
        </w:rPr>
        <w:t>24</w:t>
      </w:r>
      <w:r>
        <w:rPr>
          <w:rFonts w:eastAsia="方正仿宋_GBK"/>
          <w:sz w:val="32"/>
          <w:szCs w:val="32"/>
        </w:rPr>
        <w:t>号</w:t>
      </w:r>
    </w:p>
    <w:p>
      <w:pPr>
        <w:snapToGrid w:val="0"/>
        <w:spacing w:afterLines="100"/>
        <w:jc w:val="center"/>
        <w:rPr>
          <w:rFonts w:eastAsia="方正仿宋_GBK"/>
          <w:sz w:val="32"/>
          <w:szCs w:val="32"/>
        </w:rPr>
      </w:pPr>
      <w:r>
        <w:rPr>
          <w:sz w:val="32"/>
        </w:rPr>
        <w:pict>
          <v:line id="_x0000_s2051" o:spid="_x0000_s2051" o:spt="20" style="position:absolute;left:0pt;flip:y;margin-left:-5.4pt;margin-top:13.2pt;height:1.5pt;width:451.5pt;z-index:251659264;mso-width-relative:page;mso-height-relative:page;" filled="f" stroked="t" coordsize="21600,21600">
            <v:path arrowok="t"/>
            <v:fill on="f" focussize="0,0"/>
            <v:stroke weight="2pt" color="#FF0000"/>
            <v:imagedata o:title=""/>
            <o:lock v:ext="edit" aspectratio="f"/>
          </v:line>
        </w:pic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32"/>
        </w:rPr>
      </w:pPr>
    </w:p>
    <w:p>
      <w:pPr>
        <w:keepNext w:val="0"/>
        <w:keepLines w:val="0"/>
        <w:pageBreakBefore w:val="0"/>
        <w:kinsoku/>
        <w:overflowPunct/>
        <w:topLinePunct w:val="0"/>
        <w:bidi w:val="0"/>
        <w:adjustRightInd/>
        <w:snapToGrid w:val="0"/>
        <w:spacing w:line="59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关于报送2022年度律师、公证员专业</w:t>
      </w:r>
    </w:p>
    <w:p>
      <w:pPr>
        <w:keepNext w:val="0"/>
        <w:keepLines w:val="0"/>
        <w:pageBreakBefore w:val="0"/>
        <w:kinsoku/>
        <w:overflowPunct/>
        <w:topLinePunct w:val="0"/>
        <w:bidi w:val="0"/>
        <w:adjustRightInd/>
        <w:snapToGrid w:val="0"/>
        <w:spacing w:line="59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高级职称评审材料的通知</w:t>
      </w:r>
    </w:p>
    <w:p>
      <w:pPr>
        <w:keepNext w:val="0"/>
        <w:keepLines w:val="0"/>
        <w:pageBreakBefore w:val="0"/>
        <w:kinsoku/>
        <w:overflowPunct/>
        <w:topLinePunct w:val="0"/>
        <w:bidi w:val="0"/>
        <w:adjustRightInd/>
        <w:snapToGrid w:val="0"/>
        <w:spacing w:line="590" w:lineRule="exact"/>
        <w:jc w:val="both"/>
        <w:textAlignment w:val="auto"/>
        <w:rPr>
          <w:rFonts w:hint="default" w:ascii="Times New Roman" w:hAnsi="Times New Roman" w:eastAsia="方正仿宋_GBK" w:cs="Times New Roman"/>
          <w:sz w:val="32"/>
          <w:szCs w:val="32"/>
        </w:rPr>
      </w:pPr>
    </w:p>
    <w:p>
      <w:pPr>
        <w:keepNext w:val="0"/>
        <w:keepLines w:val="0"/>
        <w:pageBreakBefore w:val="0"/>
        <w:kinsoku/>
        <w:overflowPunct/>
        <w:topLinePunct w:val="0"/>
        <w:bidi w:val="0"/>
        <w:adjustRightInd/>
        <w:snapToGrid w:val="0"/>
        <w:spacing w:line="590" w:lineRule="exact"/>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各县（市</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区）司法局，市律师协会，市公证协会：</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kern w:val="0"/>
          <w:sz w:val="32"/>
          <w:szCs w:val="32"/>
        </w:rPr>
        <w:t>根据《省人力资源社会保障</w:t>
      </w:r>
      <w:bookmarkStart w:id="0" w:name="_GoBack"/>
      <w:bookmarkEnd w:id="0"/>
      <w:r>
        <w:rPr>
          <w:rFonts w:hint="default" w:ascii="Times New Roman" w:hAnsi="Times New Roman" w:eastAsia="方正仿宋_GBK" w:cs="Times New Roman"/>
          <w:kern w:val="0"/>
          <w:sz w:val="32"/>
          <w:szCs w:val="32"/>
        </w:rPr>
        <w:t>厅 省职称办关于做好2022年度职称评审工作的通知》（苏职称办〔2022〕29号）和《江苏省司法厅专业技术职称工作领导小组办公室关于报送2022年度全省律师、公证员专业高级职称评审材料的通知》（苏司职称办〔2022〕2号）通知精神，现就做好2022年度全市律师、公证员专业高级职称评审工作有关事项通知如下：</w:t>
      </w:r>
    </w:p>
    <w:p>
      <w:pPr>
        <w:pStyle w:val="8"/>
        <w:keepNext w:val="0"/>
        <w:keepLines w:val="0"/>
        <w:pageBreakBefore w:val="0"/>
        <w:shd w:val="clear" w:color="auto" w:fill="FFFFFF"/>
        <w:kinsoku/>
        <w:overflowPunct/>
        <w:topLinePunct w:val="0"/>
        <w:bidi w:val="0"/>
        <w:adjustRightInd/>
        <w:snapToGrid w:val="0"/>
        <w:spacing w:before="0" w:beforeAutospacing="0" w:after="0" w:afterAutospacing="0" w:line="590" w:lineRule="exact"/>
        <w:ind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一、申报评审范围和对象</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（一）申报律师专业高级职称的评审范围为已取得律师资格，并在我市各类企事业单位、社会中介组织专职从事律师业务，与用人单位签订劳动（聘用）合同的专职律师、法律援助律师、公司（公职）律师。</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（二）申报公证员专业高级职称的评审范围为已取得公证员资格，并在我市各类企事业单位、社会中介组织专职从事公证业务或公证管理工作，与用人单位签订劳动（聘用）合同的专业技术人员。</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（三）公务员（含列入参照公务员法管理的事业单位工作人员）、离退休人员不得申报职称评审或考核认定职称。</w:t>
      </w:r>
    </w:p>
    <w:p>
      <w:pPr>
        <w:pStyle w:val="8"/>
        <w:keepNext w:val="0"/>
        <w:keepLines w:val="0"/>
        <w:pageBreakBefore w:val="0"/>
        <w:shd w:val="clear" w:color="auto" w:fill="FFFFFF"/>
        <w:kinsoku/>
        <w:overflowPunct/>
        <w:topLinePunct w:val="0"/>
        <w:bidi w:val="0"/>
        <w:adjustRightInd/>
        <w:snapToGrid w:val="0"/>
        <w:spacing w:before="0" w:beforeAutospacing="0" w:after="0" w:afterAutospacing="0" w:line="590" w:lineRule="exact"/>
        <w:ind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二、申报评审条件和政策</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（一）资格条件</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1</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申报律师专业高级职称按照2003年下发的《江苏省律师专业一级律师资格条件（试行）》《江苏省律师专业二级律师资格条件（试行）》及《附录》要求办理，其中有关学历、资历要求按以下口径执行：</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申报一级律师职称的，需取得二级律师职称后，从事本专业工作5年以上。</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申报二级律师职称的，需满足下列条件之一：获得博士学位，取得三级律师职称后，从事本专业工作2年以上；获得研究生学历或硕士学位，取得三级律师职称后，从事本专业工作4年以上；获得大学本科学历或学士学位，取得三级律师职称后，从事本专业工作5年以上；获得大学专科学历，取得三级律师职称后，从事本专业工作7年以上。</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2</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申报公证员专业高级职称按照《江苏省公证员专业技术资格条件（试行）》（苏职称〔2021〕59号）文件规定执行。</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（二）有关政策</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1</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申报人申报职称的资历（任职年限）截止时间为2021年12月31日，申报职称的业绩成果、论文、学历（学位）等截止时间为2022年3月31日。</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2</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人提供的业绩成果（荣誉称号、表彰奖励）证书和论文、著作，需与申报人自身专业理论或实务相关，否则不予认定。在报送业绩成果材料时需同步提供相应省、设区市相关行业协会提供的认定文书及相关材料。</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3</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根据省人力资源社会保障厅《关于调整我省职称外语和计算机应用能力政策有关问题的通知》（苏人社发〔2016〕356号）精神，职称外语和计算机应用能力不作为申报职称评审的必备条件，仅作为评审时的参考因素，申报时可不提交相应材料。</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4</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其他相关职称系列转评律师、公证员系列高级职称的，必须同时具备下列条件：①具有律师、公证员资格；②具有相应系列同职务层次的职称；③原工作单位已离职，专职从事律师或公证员一年以上。转评后工作满1年以上，符合条件的，可申报高一级职称，原专业工作年限连续计算。</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5</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人应当按照职称层级逐级申报职称评审。如确系在经济社会各项事业发展中作出突出贡献、取得显著经济效益和社会效益，品德能力业绩特别突出的高层次和急需紧缺人才，可根据《江苏省高层次和急需紧缺人才高级职称考核认定办法（试行）》（苏人社规〔2018〕4 号）和《关于做好2022年度职称评审工作的通知》（苏职称办〔2022〕29号）有关规定直接申报考核认定高级职称（相关工作由省人社厅单独部署）。其中，符合正常（破格）申报高级职称的专业技术人才，必须按正常申报渠道参加职称评审，不得申报考核认定。</w:t>
      </w:r>
    </w:p>
    <w:p>
      <w:pPr>
        <w:pStyle w:val="8"/>
        <w:keepNext w:val="0"/>
        <w:keepLines w:val="0"/>
        <w:pageBreakBefore w:val="0"/>
        <w:shd w:val="clear" w:color="auto" w:fill="FFFFFF"/>
        <w:kinsoku/>
        <w:overflowPunct/>
        <w:topLinePunct w:val="0"/>
        <w:bidi w:val="0"/>
        <w:adjustRightInd/>
        <w:snapToGrid w:val="0"/>
        <w:spacing w:before="0" w:beforeAutospacing="0" w:after="0" w:afterAutospacing="0" w:line="590" w:lineRule="exact"/>
        <w:ind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 xml:space="preserve">三、申报方式及申报材料要求 </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（一）申报方式</w:t>
      </w:r>
    </w:p>
    <w:p>
      <w:pPr>
        <w:keepNext w:val="0"/>
        <w:keepLines w:val="0"/>
        <w:pageBreakBefore w:val="0"/>
        <w:kinsoku/>
        <w:wordWrap w:val="0"/>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申报人应当根据属地管理和个人自愿原则，按规定程序逐级报送相应评委会。申报人同一年度、同一职称层级原则上只能向同一评审委员会提出申请，不得多头报送。</w:t>
      </w:r>
    </w:p>
    <w:p>
      <w:pPr>
        <w:keepNext w:val="0"/>
        <w:keepLines w:val="0"/>
        <w:pageBreakBefore w:val="0"/>
        <w:kinsoku/>
        <w:wordWrap w:val="0"/>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kern w:val="0"/>
          <w:sz w:val="32"/>
          <w:szCs w:val="32"/>
        </w:rPr>
        <w:t>从今年起，全市律师、公证员专业高级职称申报采取网上填报，纸质材料线下同步提交的方式，申报人员登录江苏人才服务云平台</w:t>
      </w:r>
      <w:r>
        <w:rPr>
          <w:rFonts w:hint="default" w:ascii="Times New Roman" w:hAnsi="Times New Roman" w:eastAsia="方正仿宋_GBK" w:cs="Times New Roman"/>
          <w:spacing w:val="-20"/>
          <w:kern w:val="0"/>
          <w:sz w:val="32"/>
          <w:szCs w:val="32"/>
        </w:rPr>
        <w:t>（https://rs.jshrss.jiangsu.gov.cn/web/cdsu/rcfw/gr）</w:t>
      </w:r>
      <w:r>
        <w:rPr>
          <w:rFonts w:hint="default" w:ascii="Times New Roman" w:hAnsi="Times New Roman" w:eastAsia="方正仿宋_GBK" w:cs="Times New Roman"/>
          <w:spacing w:val="-20"/>
          <w:kern w:val="0"/>
          <w:sz w:val="32"/>
          <w:szCs w:val="32"/>
          <w:lang w:eastAsia="zh-CN"/>
        </w:rPr>
        <w:t>，</w:t>
      </w:r>
      <w:r>
        <w:rPr>
          <w:rFonts w:hint="default" w:ascii="Times New Roman" w:hAnsi="Times New Roman" w:eastAsia="方正仿宋_GBK" w:cs="Times New Roman"/>
          <w:kern w:val="0"/>
          <w:sz w:val="32"/>
          <w:szCs w:val="32"/>
        </w:rPr>
        <w:t>在“人才服务”“专业技术人员管理服务（个人业务）”栏目进行网上申报，在线如实填报相关信息后，通过系统自助下载打印《专业技术资格评审申报表》，并按要求与其他纸质材料一并报送。</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（二）纸质材料提交要求</w:t>
      </w:r>
    </w:p>
    <w:p>
      <w:pPr>
        <w:pStyle w:val="8"/>
        <w:keepNext w:val="0"/>
        <w:keepLines w:val="0"/>
        <w:pageBreakBefore w:val="0"/>
        <w:widowControl w:val="0"/>
        <w:shd w:val="clear" w:color="auto" w:fill="FFFFFF"/>
        <w:kinsoku/>
        <w:wordWrap w:val="0"/>
        <w:overflowPunct/>
        <w:topLinePunct w:val="0"/>
        <w:bidi w:val="0"/>
        <w:adjustRightInd/>
        <w:snapToGrid w:val="0"/>
        <w:spacing w:before="0" w:beforeAutospacing="0" w:after="0" w:afterAutospacing="0" w:line="59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申报人完成网上申报后，按以下要求将纸质材料整理、装订成册。相关表格及有关政策可登录江苏省司法厅官方网站“为民服务”—“申办资料下载”栏目中下载，网址为：</w:t>
      </w:r>
      <w:r>
        <w:rPr>
          <w:rFonts w:hint="default" w:ascii="Times New Roman" w:hAnsi="Times New Roman" w:eastAsia="方正仿宋_GBK" w:cs="Times New Roman"/>
          <w:sz w:val="32"/>
          <w:szCs w:val="32"/>
        </w:rPr>
        <w:fldChar w:fldCharType="begin"/>
      </w:r>
      <w:r>
        <w:rPr>
          <w:rFonts w:hint="default" w:ascii="Times New Roman" w:hAnsi="Times New Roman" w:eastAsia="方正仿宋_GBK" w:cs="Times New Roman"/>
          <w:sz w:val="32"/>
          <w:szCs w:val="32"/>
        </w:rPr>
        <w:instrText xml:space="preserve"> HYPERLINK "http://sft.jiangsu.gov.cn" </w:instrText>
      </w:r>
      <w:r>
        <w:rPr>
          <w:rFonts w:hint="default" w:ascii="Times New Roman" w:hAnsi="Times New Roman" w:eastAsia="方正仿宋_GBK" w:cs="Times New Roman"/>
          <w:sz w:val="32"/>
          <w:szCs w:val="32"/>
        </w:rPr>
        <w:fldChar w:fldCharType="separate"/>
      </w:r>
      <w:r>
        <w:rPr>
          <w:rFonts w:hint="default" w:ascii="Times New Roman" w:hAnsi="Times New Roman" w:eastAsia="方正仿宋_GBK" w:cs="Times New Roman"/>
          <w:sz w:val="32"/>
          <w:szCs w:val="32"/>
        </w:rPr>
        <w:t>http://sft.jiangsu.gov.cn</w:t>
      </w:r>
      <w:r>
        <w:rPr>
          <w:rFonts w:hint="default" w:ascii="Times New Roman" w:hAnsi="Times New Roman" w:eastAsia="方正仿宋_GBK" w:cs="Times New Roman"/>
          <w:sz w:val="32"/>
          <w:szCs w:val="32"/>
        </w:rPr>
        <w:fldChar w:fldCharType="end"/>
      </w:r>
      <w:r>
        <w:rPr>
          <w:rFonts w:hint="default" w:ascii="Times New Roman" w:hAnsi="Times New Roman" w:eastAsia="方正仿宋_GBK" w:cs="Times New Roman"/>
          <w:sz w:val="32"/>
          <w:szCs w:val="32"/>
        </w:rPr>
        <w:t>。</w:t>
      </w:r>
    </w:p>
    <w:p>
      <w:pPr>
        <w:keepNext w:val="0"/>
        <w:keepLines w:val="0"/>
        <w:pageBreakBefore w:val="0"/>
        <w:kinsoku/>
        <w:wordWrap w:val="0"/>
        <w:overflowPunct/>
        <w:topLinePunct w:val="0"/>
        <w:autoSpaceDE w:val="0"/>
        <w:autoSpaceDN w:val="0"/>
        <w:bidi w:val="0"/>
        <w:adjustRightInd/>
        <w:snapToGrid w:val="0"/>
        <w:spacing w:line="590" w:lineRule="exact"/>
        <w:ind w:firstLine="643"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kern w:val="0"/>
          <w:sz w:val="32"/>
          <w:szCs w:val="32"/>
        </w:rPr>
        <w:t>第一分册</w:t>
      </w:r>
      <w:r>
        <w:rPr>
          <w:rFonts w:hint="default" w:ascii="Times New Roman" w:hAnsi="Times New Roman" w:eastAsia="方正仿宋_GBK" w:cs="Times New Roman"/>
          <w:sz w:val="32"/>
          <w:szCs w:val="32"/>
        </w:rPr>
        <w:t>（按规定格式打印、签章后装入材料袋，不装订）：</w:t>
      </w:r>
    </w:p>
    <w:p>
      <w:pPr>
        <w:keepNext w:val="0"/>
        <w:keepLines w:val="0"/>
        <w:pageBreakBefore w:val="0"/>
        <w:kinsoku/>
        <w:wordWrap w:val="0"/>
        <w:overflowPunct/>
        <w:topLinePunct w:val="0"/>
        <w:autoSpaceDE w:val="0"/>
        <w:autoSpaceDN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1</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w:t>
      </w:r>
      <w:r>
        <w:rPr>
          <w:rFonts w:hint="default" w:ascii="Times New Roman" w:hAnsi="Times New Roman" w:eastAsia="方正仿宋_GBK" w:cs="Times New Roman"/>
          <w:kern w:val="0"/>
          <w:sz w:val="32"/>
          <w:szCs w:val="32"/>
          <w:u w:val="single"/>
        </w:rPr>
        <w:t xml:space="preserve">   </w:t>
      </w:r>
      <w:r>
        <w:rPr>
          <w:rFonts w:hint="default" w:ascii="Times New Roman" w:hAnsi="Times New Roman" w:eastAsia="方正仿宋_GBK" w:cs="Times New Roman"/>
          <w:kern w:val="0"/>
          <w:sz w:val="32"/>
          <w:szCs w:val="32"/>
        </w:rPr>
        <w:t>市申报高级职称人员情况一览表》1份（用A3纸打印）</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2</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《江苏省申报</w:t>
      </w:r>
      <w:r>
        <w:rPr>
          <w:rFonts w:hint="default" w:ascii="Times New Roman" w:hAnsi="Times New Roman" w:eastAsia="方正仿宋_GBK" w:cs="Times New Roman"/>
          <w:kern w:val="0"/>
          <w:sz w:val="32"/>
          <w:szCs w:val="32"/>
          <w:u w:val="single"/>
        </w:rPr>
        <w:t xml:space="preserve">   </w:t>
      </w:r>
      <w:r>
        <w:rPr>
          <w:rFonts w:hint="default" w:ascii="Times New Roman" w:hAnsi="Times New Roman" w:eastAsia="方正仿宋_GBK" w:cs="Times New Roman"/>
          <w:kern w:val="0"/>
          <w:sz w:val="32"/>
          <w:szCs w:val="32"/>
        </w:rPr>
        <w:t>专业技术资格人员情况简介表》15份（用A3纸打印）</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3</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《专业技术资格评审申报表》3份</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网上填报后下载</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用A3纸双面打印，对折骑马钉装订</w:t>
      </w:r>
      <w:r>
        <w:rPr>
          <w:rFonts w:hint="default" w:ascii="Times New Roman" w:hAnsi="Times New Roman" w:eastAsia="方正仿宋_GBK" w:cs="Times New Roman"/>
          <w:kern w:val="0"/>
          <w:sz w:val="32"/>
          <w:szCs w:val="32"/>
          <w:lang w:eastAsia="zh-CN"/>
        </w:rPr>
        <w:t>）</w:t>
      </w:r>
    </w:p>
    <w:p>
      <w:pPr>
        <w:keepNext w:val="0"/>
        <w:keepLines w:val="0"/>
        <w:pageBreakBefore w:val="0"/>
        <w:kinsoku/>
        <w:wordWrap w:val="0"/>
        <w:overflowPunct/>
        <w:topLinePunct w:val="0"/>
        <w:autoSpaceDE w:val="0"/>
        <w:autoSpaceDN w:val="0"/>
        <w:bidi w:val="0"/>
        <w:adjustRightInd/>
        <w:snapToGrid w:val="0"/>
        <w:spacing w:line="590" w:lineRule="exact"/>
        <w:ind w:firstLine="643" w:firstLineChars="200"/>
        <w:jc w:val="both"/>
        <w:textAlignment w:val="auto"/>
        <w:rPr>
          <w:rFonts w:hint="default" w:ascii="Times New Roman" w:hAnsi="Times New Roman" w:eastAsia="方正仿宋_GBK" w:cs="Times New Roman"/>
          <w:b/>
          <w:kern w:val="0"/>
          <w:sz w:val="32"/>
          <w:szCs w:val="32"/>
        </w:rPr>
      </w:pPr>
      <w:r>
        <w:rPr>
          <w:rFonts w:hint="default" w:ascii="Times New Roman" w:hAnsi="Times New Roman" w:eastAsia="方正仿宋_GBK" w:cs="Times New Roman"/>
          <w:b/>
          <w:kern w:val="0"/>
          <w:sz w:val="32"/>
          <w:szCs w:val="32"/>
        </w:rPr>
        <w:t>第二分册</w:t>
      </w:r>
      <w:r>
        <w:rPr>
          <w:rFonts w:hint="default" w:ascii="Times New Roman" w:hAnsi="Times New Roman" w:eastAsia="方正仿宋_GBK" w:cs="Times New Roman"/>
          <w:sz w:val="32"/>
          <w:szCs w:val="32"/>
        </w:rPr>
        <w:t>（按顺序编辑目录、页码，用白色封面胶装成册）：</w:t>
      </w:r>
    </w:p>
    <w:p>
      <w:pPr>
        <w:keepNext w:val="0"/>
        <w:keepLines w:val="0"/>
        <w:pageBreakBefore w:val="0"/>
        <w:kinsoku/>
        <w:wordWrap w:val="0"/>
        <w:overflowPunct/>
        <w:topLinePunct w:val="0"/>
        <w:autoSpaceDE w:val="0"/>
        <w:autoSpaceDN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1</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《职称评审诚信申报审核承诺书》（用A4纸打印）。</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2</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申报人所在单位出具的公示证明。</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3</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《专业技术资格评审申报表》复印件。</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4</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申报人执业证书复印件。</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5</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申报人现取得最高学历、学位证书复印件。</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6</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申报人现取得职称资格证书复印件。</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7</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申报人接受继续教育证明材料复印件。</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8</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申报人现职称以来的工作总结（1500字以内）。</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9</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申报人近三年来年度考核表复印件。</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10</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申报人主要业绩成果证明、证书复印件。</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11</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申报人论文、论著复印件（学术著作复印封面、封底、版权页、目录；学术论文复印封面、封底、版权页、目录页及论文全文）。</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12</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申报人破格晋升的依据和佐证材料复印件。</w:t>
      </w:r>
    </w:p>
    <w:p>
      <w:pPr>
        <w:keepNext w:val="0"/>
        <w:keepLines w:val="0"/>
        <w:pageBreakBefore w:val="0"/>
        <w:kinsoku/>
        <w:wordWrap w:val="0"/>
        <w:overflowPunct/>
        <w:topLinePunct w:val="0"/>
        <w:autoSpaceDE w:val="0"/>
        <w:autoSpaceDN w:val="0"/>
        <w:bidi w:val="0"/>
        <w:adjustRightInd/>
        <w:snapToGrid w:val="0"/>
        <w:spacing w:line="590" w:lineRule="exact"/>
        <w:ind w:firstLine="643"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kern w:val="0"/>
          <w:sz w:val="32"/>
          <w:szCs w:val="32"/>
        </w:rPr>
        <w:t>第三分册</w:t>
      </w:r>
      <w:r>
        <w:rPr>
          <w:rFonts w:hint="default" w:ascii="Times New Roman" w:hAnsi="Times New Roman" w:eastAsia="方正仿宋_GBK" w:cs="Times New Roman"/>
          <w:sz w:val="32"/>
          <w:szCs w:val="32"/>
        </w:rPr>
        <w:t>（装入材料袋，不装订）：</w:t>
      </w:r>
    </w:p>
    <w:p>
      <w:pPr>
        <w:pStyle w:val="8"/>
        <w:keepNext w:val="0"/>
        <w:keepLines w:val="0"/>
        <w:pageBreakBefore w:val="0"/>
        <w:widowControl w:val="0"/>
        <w:shd w:val="clear" w:color="auto" w:fill="FFFFFF"/>
        <w:kinsoku/>
        <w:overflowPunct/>
        <w:topLinePunct w:val="0"/>
        <w:bidi w:val="0"/>
        <w:adjustRightInd/>
        <w:snapToGrid w:val="0"/>
        <w:spacing w:before="0" w:beforeAutospacing="0" w:after="0" w:afterAutospacing="0" w:line="59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rPr>
        <w:t>．</w:t>
      </w:r>
      <w:r>
        <w:rPr>
          <w:rFonts w:hint="default" w:ascii="Times New Roman" w:hAnsi="Times New Roman" w:eastAsia="方正仿宋_GBK" w:cs="Times New Roman"/>
          <w:sz w:val="32"/>
          <w:szCs w:val="32"/>
        </w:rPr>
        <w:t>申报（转评）律师专业高级职称的需提交能反映本人专业理论水平和专业工作能力的刑事、民事、经济、法律顾问业务卷宗原件各1份，或根据自身从业情况择优提交不同类型的律师业务卷宗原件3份和法律顾问律师卷宗原件1份。</w:t>
      </w:r>
    </w:p>
    <w:p>
      <w:pPr>
        <w:pStyle w:val="8"/>
        <w:keepNext w:val="0"/>
        <w:keepLines w:val="0"/>
        <w:pageBreakBefore w:val="0"/>
        <w:widowControl w:val="0"/>
        <w:shd w:val="clear" w:color="auto" w:fill="FFFFFF"/>
        <w:kinsoku/>
        <w:overflowPunct/>
        <w:topLinePunct w:val="0"/>
        <w:bidi w:val="0"/>
        <w:adjustRightInd/>
        <w:snapToGrid w:val="0"/>
        <w:spacing w:before="0" w:beforeAutospacing="0" w:after="0" w:afterAutospacing="0" w:line="59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hint="default" w:ascii="Times New Roman" w:hAnsi="Times New Roman" w:eastAsia="方正仿宋_GBK" w:cs="Times New Roman"/>
          <w:sz w:val="32"/>
        </w:rPr>
        <w:t>．</w:t>
      </w:r>
      <w:r>
        <w:rPr>
          <w:rFonts w:hint="default" w:ascii="Times New Roman" w:hAnsi="Times New Roman" w:eastAsia="方正仿宋_GBK" w:cs="Times New Roman"/>
          <w:sz w:val="32"/>
          <w:szCs w:val="32"/>
        </w:rPr>
        <w:t>申报（转评）公证员专业高级职称的需提交能反映本人专业理论水平和专业工作能力的不同类型国内公证业务卷宗原件4份，其中包括遗嘱卷宗和继承卷宗。</w:t>
      </w:r>
    </w:p>
    <w:p>
      <w:pPr>
        <w:pStyle w:val="8"/>
        <w:keepNext w:val="0"/>
        <w:keepLines w:val="0"/>
        <w:pageBreakBefore w:val="0"/>
        <w:shd w:val="clear" w:color="auto" w:fill="FFFFFF"/>
        <w:kinsoku/>
        <w:overflowPunct/>
        <w:topLinePunct w:val="0"/>
        <w:bidi w:val="0"/>
        <w:adjustRightInd/>
        <w:snapToGrid w:val="0"/>
        <w:spacing w:before="0" w:beforeAutospacing="0" w:after="0" w:afterAutospacing="0" w:line="590" w:lineRule="exact"/>
        <w:ind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四、申报材料审核报送要求</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（一）</w:t>
      </w:r>
      <w:r>
        <w:rPr>
          <w:rFonts w:hint="default" w:ascii="Times New Roman" w:hAnsi="Times New Roman" w:eastAsia="方正仿宋_GBK" w:cs="Times New Roman"/>
          <w:sz w:val="32"/>
          <w:szCs w:val="32"/>
        </w:rPr>
        <w:t>申报人所在单位对申报人员提交材料的真实性、完整性和时效性进行初审，并在单位范围内进行公示</w:t>
      </w:r>
      <w:r>
        <w:rPr>
          <w:rFonts w:hint="default" w:ascii="Times New Roman" w:hAnsi="Times New Roman" w:eastAsia="方正仿宋_GBK" w:cs="Times New Roman"/>
          <w:kern w:val="0"/>
          <w:sz w:val="32"/>
          <w:szCs w:val="32"/>
        </w:rPr>
        <w:t>，公示时间不少于5个工作日，公示无异议方可申报。</w:t>
      </w:r>
    </w:p>
    <w:p>
      <w:pPr>
        <w:pStyle w:val="8"/>
        <w:keepNext w:val="0"/>
        <w:keepLines w:val="0"/>
        <w:pageBreakBefore w:val="0"/>
        <w:widowControl w:val="0"/>
        <w:shd w:val="clear" w:color="auto" w:fill="FFFFFF"/>
        <w:kinsoku/>
        <w:overflowPunct/>
        <w:topLinePunct w:val="0"/>
        <w:bidi w:val="0"/>
        <w:adjustRightInd/>
        <w:snapToGrid w:val="0"/>
        <w:spacing w:before="0" w:beforeAutospacing="0" w:after="0" w:afterAutospacing="0" w:line="59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所在单位对申报人员提交的材料进行全面复核，重点核查申报人是否符合申报条件，所提供的复印件是否与原件一致（所有复印件均需加盖单位公章）。申报材料缺失或不符合要求的，应当及时补正，逾期未补充完整的，视为放弃申报。</w:t>
      </w:r>
    </w:p>
    <w:p>
      <w:pPr>
        <w:pStyle w:val="8"/>
        <w:keepNext w:val="0"/>
        <w:keepLines w:val="0"/>
        <w:pageBreakBefore w:val="0"/>
        <w:widowControl w:val="0"/>
        <w:shd w:val="clear" w:color="auto" w:fill="FFFFFF"/>
        <w:kinsoku/>
        <w:overflowPunct/>
        <w:topLinePunct w:val="0"/>
        <w:bidi w:val="0"/>
        <w:adjustRightInd/>
        <w:snapToGrid w:val="0"/>
        <w:spacing w:before="0" w:beforeAutospacing="0" w:after="0" w:afterAutospacing="0" w:line="59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（三）网上申报时间为2022年5月28日至6月30日，逾期系统将自动关闭，不予申报。</w:t>
      </w:r>
    </w:p>
    <w:p>
      <w:pPr>
        <w:pStyle w:val="8"/>
        <w:keepNext w:val="0"/>
        <w:keepLines w:val="0"/>
        <w:pageBreakBefore w:val="0"/>
        <w:widowControl w:val="0"/>
        <w:shd w:val="clear" w:color="auto" w:fill="FFFFFF"/>
        <w:kinsoku/>
        <w:overflowPunct/>
        <w:topLinePunct w:val="0"/>
        <w:bidi w:val="0"/>
        <w:adjustRightInd/>
        <w:snapToGrid w:val="0"/>
        <w:spacing w:before="0" w:beforeAutospacing="0" w:after="0" w:afterAutospacing="0" w:line="59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纸质材料报送时间为2022年6月15日至6月30日，逾期不予受理。纸质材料报送地点：南通市司法局职称办（南通市崇文路2号图书馆综合大楼1626室）。联系电话：59002208、59002288，联系人：孙霁云、叶伟，QQ群号：858979025。</w:t>
      </w:r>
    </w:p>
    <w:p>
      <w:pPr>
        <w:pStyle w:val="8"/>
        <w:keepNext w:val="0"/>
        <w:keepLines w:val="0"/>
        <w:pageBreakBefore w:val="0"/>
        <w:shd w:val="clear" w:color="auto" w:fill="FFFFFF"/>
        <w:kinsoku/>
        <w:overflowPunct/>
        <w:topLinePunct w:val="0"/>
        <w:bidi w:val="0"/>
        <w:adjustRightInd/>
        <w:snapToGrid w:val="0"/>
        <w:spacing w:before="0" w:beforeAutospacing="0" w:after="0" w:afterAutospacing="0" w:line="590" w:lineRule="exact"/>
        <w:ind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五、收费标准</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根据省物价局、财政厅有关文件规定的职称评审收费标准，高级律师、公证员评审费用500元/人，在提交纸质材料时一并交纳。</w:t>
      </w: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eastAsia="方正仿宋_GBK"/>
          <w:sz w:val="32"/>
          <w:szCs w:val="32"/>
        </w:rPr>
      </w:pPr>
      <w:r>
        <w:rPr>
          <w:rFonts w:eastAsia="方正仿宋_GBK"/>
          <w:sz w:val="32"/>
          <w:szCs w:val="32"/>
        </w:rPr>
        <w:t xml:space="preserve">                                     南通市司法局</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eastAsia="方正仿宋_GBK"/>
          <w:sz w:val="32"/>
          <w:szCs w:val="32"/>
        </w:rPr>
      </w:pPr>
      <w:r>
        <w:rPr>
          <w:rFonts w:eastAsia="方正仿宋_GBK"/>
          <w:sz w:val="32"/>
          <w:szCs w:val="32"/>
        </w:rPr>
        <w:t xml:space="preserve">                                    202</w:t>
      </w:r>
      <w:r>
        <w:rPr>
          <w:rFonts w:hint="eastAsia" w:eastAsia="方正仿宋_GBK"/>
          <w:sz w:val="32"/>
          <w:szCs w:val="32"/>
          <w:lang w:val="en-US" w:eastAsia="zh-CN"/>
        </w:rPr>
        <w:t>2</w:t>
      </w:r>
      <w:r>
        <w:rPr>
          <w:rFonts w:eastAsia="方正仿宋_GBK"/>
          <w:sz w:val="32"/>
          <w:szCs w:val="32"/>
        </w:rPr>
        <w:t>年</w:t>
      </w:r>
      <w:r>
        <w:rPr>
          <w:rFonts w:hint="eastAsia" w:eastAsia="方正仿宋_GBK"/>
          <w:sz w:val="32"/>
          <w:szCs w:val="32"/>
          <w:lang w:val="en-US" w:eastAsia="zh-CN"/>
        </w:rPr>
        <w:t>5</w:t>
      </w:r>
      <w:r>
        <w:rPr>
          <w:rFonts w:eastAsia="方正仿宋_GBK"/>
          <w:sz w:val="32"/>
          <w:szCs w:val="32"/>
        </w:rPr>
        <w:t>月</w:t>
      </w:r>
      <w:r>
        <w:rPr>
          <w:rFonts w:hint="eastAsia" w:eastAsia="方正仿宋_GBK"/>
          <w:sz w:val="32"/>
          <w:szCs w:val="32"/>
          <w:lang w:val="en-US" w:eastAsia="zh-CN"/>
        </w:rPr>
        <w:t>27</w:t>
      </w:r>
      <w:r>
        <w:rPr>
          <w:rFonts w:eastAsia="方正仿宋_GBK"/>
          <w:sz w:val="32"/>
          <w:szCs w:val="32"/>
        </w:rPr>
        <w:t>日</w:t>
      </w: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pStyle w:val="20"/>
        <w:snapToGrid w:val="0"/>
        <w:spacing w:line="100" w:lineRule="atLeast"/>
        <w:ind w:left="-57" w:right="-57"/>
        <w:rPr>
          <w:b/>
          <w:snapToGrid/>
          <w:kern w:val="2"/>
          <w:sz w:val="28"/>
          <w:szCs w:val="28"/>
        </w:rPr>
      </w:pPr>
      <w:r>
        <w:rPr>
          <w:snapToGrid/>
          <w:kern w:val="2"/>
          <w:sz w:val="28"/>
          <w:szCs w:val="28"/>
        </w:rPr>
        <w:object>
          <v:shape id="_x0000_i1025" o:spt="75" type="#_x0000_t75" style="height:2.25pt;width:442.5pt;" o:ole="t" fillcolor="#FFFFFF" filled="f" o:preferrelative="t" stroked="f" coordsize="21600,21600">
            <v:path/>
            <v:fill on="f" focussize="0,0"/>
            <v:stroke on="f" joinstyle="miter"/>
            <v:imagedata r:id="rId7" o:title=""/>
            <o:lock v:ext="edit" aspectratio="f"/>
            <w10:wrap type="none"/>
            <w10:anchorlock/>
          </v:shape>
          <o:OLEObject Type="Embed" ProgID="MSDraw" ShapeID="_x0000_i1025" DrawAspect="Content" ObjectID="_1468075725" r:id="rId6">
            <o:LockedField>false</o:LockedField>
          </o:OLEObject>
        </w:object>
      </w:r>
    </w:p>
    <w:p>
      <w:pPr>
        <w:pStyle w:val="19"/>
        <w:snapToGrid w:val="0"/>
        <w:spacing w:after="40" w:line="400" w:lineRule="exact"/>
        <w:ind w:left="1151" w:right="312" w:hanging="839"/>
        <w:rPr>
          <w:snapToGrid/>
          <w:kern w:val="2"/>
          <w:sz w:val="28"/>
          <w:szCs w:val="28"/>
        </w:rPr>
      </w:pPr>
      <w:r>
        <w:rPr>
          <w:snapToGrid/>
          <w:kern w:val="2"/>
          <w:sz w:val="28"/>
          <w:szCs w:val="28"/>
        </w:rPr>
        <w:t>抄送：</w:t>
      </w:r>
      <w:r>
        <w:rPr>
          <w:rFonts w:hint="eastAsia"/>
          <w:snapToGrid/>
          <w:kern w:val="2"/>
          <w:sz w:val="28"/>
          <w:szCs w:val="28"/>
        </w:rPr>
        <w:t>市职称办，局机关有关处室</w:t>
      </w:r>
      <w:r>
        <w:rPr>
          <w:snapToGrid/>
          <w:kern w:val="2"/>
          <w:sz w:val="28"/>
          <w:szCs w:val="28"/>
        </w:rPr>
        <w:t>。</w:t>
      </w:r>
    </w:p>
    <w:p>
      <w:pPr>
        <w:pStyle w:val="20"/>
        <w:snapToGrid w:val="0"/>
        <w:spacing w:line="100" w:lineRule="atLeast"/>
        <w:ind w:left="-57" w:right="-57"/>
        <w:rPr>
          <w:snapToGrid/>
          <w:kern w:val="2"/>
          <w:sz w:val="28"/>
          <w:szCs w:val="28"/>
        </w:rPr>
      </w:pPr>
      <w:r>
        <w:rPr>
          <w:snapToGrid/>
          <w:kern w:val="2"/>
          <w:sz w:val="28"/>
          <w:szCs w:val="28"/>
        </w:rPr>
        <w:object>
          <v:shape id="_x0000_i1028" o:spt="75" type="#_x0000_t75" style="height:1.5pt;width:442.5pt;" o:ole="t" fillcolor="#FFFFFF" filled="f" o:preferrelative="f" stroked="f" coordsize="21600,21600">
            <v:path/>
            <v:fill on="f" focussize="0,0"/>
            <v:stroke on="f" joinstyle="miter"/>
            <v:imagedata r:id="rId9" o:title=""/>
            <o:lock v:ext="edit" aspectratio="f"/>
            <w10:wrap type="none"/>
            <w10:anchorlock/>
          </v:shape>
          <o:OLEObject Type="Embed" ProgID="MSDraw" ShapeID="_x0000_i1028" DrawAspect="Content" ObjectID="_1468075726" r:id="rId8">
            <o:LockedField>false</o:LockedField>
          </o:OLEObject>
        </w:object>
      </w:r>
    </w:p>
    <w:p>
      <w:pPr>
        <w:pStyle w:val="21"/>
        <w:tabs>
          <w:tab w:val="right" w:pos="8533"/>
          <w:tab w:val="clear" w:pos="8465"/>
        </w:tabs>
        <w:spacing w:after="40" w:line="400" w:lineRule="exact"/>
        <w:ind w:left="312" w:right="0"/>
        <w:rPr>
          <w:snapToGrid/>
          <w:kern w:val="2"/>
          <w:sz w:val="28"/>
          <w:szCs w:val="28"/>
        </w:rPr>
      </w:pPr>
      <w:r>
        <w:rPr>
          <w:snapToGrid/>
          <w:kern w:val="2"/>
          <w:sz w:val="28"/>
          <w:szCs w:val="28"/>
        </w:rPr>
        <w:t xml:space="preserve">南通市司法局办公室                      </w:t>
      </w:r>
      <w:r>
        <w:rPr>
          <w:rFonts w:hint="eastAsia"/>
          <w:snapToGrid/>
          <w:kern w:val="2"/>
          <w:sz w:val="28"/>
          <w:szCs w:val="28"/>
        </w:rPr>
        <w:t xml:space="preserve"> </w:t>
      </w:r>
      <w:r>
        <w:rPr>
          <w:snapToGrid/>
          <w:kern w:val="2"/>
          <w:sz w:val="28"/>
          <w:szCs w:val="28"/>
        </w:rPr>
        <w:t xml:space="preserve"> 20</w:t>
      </w:r>
      <w:r>
        <w:rPr>
          <w:rFonts w:hint="eastAsia"/>
          <w:snapToGrid/>
          <w:kern w:val="2"/>
          <w:sz w:val="28"/>
          <w:szCs w:val="28"/>
        </w:rPr>
        <w:t>22</w:t>
      </w:r>
      <w:r>
        <w:rPr>
          <w:snapToGrid/>
          <w:kern w:val="2"/>
          <w:sz w:val="28"/>
          <w:szCs w:val="28"/>
        </w:rPr>
        <w:t>年</w:t>
      </w:r>
      <w:r>
        <w:rPr>
          <w:rFonts w:hint="eastAsia"/>
          <w:snapToGrid/>
          <w:kern w:val="2"/>
          <w:sz w:val="28"/>
          <w:szCs w:val="28"/>
          <w:lang w:val="en-US" w:eastAsia="zh-CN"/>
        </w:rPr>
        <w:t>5</w:t>
      </w:r>
      <w:r>
        <w:rPr>
          <w:snapToGrid/>
          <w:kern w:val="2"/>
          <w:sz w:val="28"/>
          <w:szCs w:val="28"/>
        </w:rPr>
        <w:t>月</w:t>
      </w:r>
      <w:r>
        <w:rPr>
          <w:rFonts w:hint="eastAsia"/>
          <w:snapToGrid/>
          <w:kern w:val="2"/>
          <w:sz w:val="28"/>
          <w:szCs w:val="28"/>
          <w:lang w:val="en-US" w:eastAsia="zh-CN"/>
        </w:rPr>
        <w:t>27</w:t>
      </w:r>
      <w:r>
        <w:rPr>
          <w:snapToGrid/>
          <w:kern w:val="2"/>
          <w:sz w:val="28"/>
          <w:szCs w:val="28"/>
        </w:rPr>
        <w:t>日印发</w:t>
      </w:r>
    </w:p>
    <w:p>
      <w:pPr>
        <w:pStyle w:val="20"/>
        <w:snapToGrid w:val="0"/>
        <w:spacing w:line="100" w:lineRule="atLeast"/>
        <w:ind w:left="-57" w:right="-57"/>
        <w:rPr>
          <w:b/>
          <w:snapToGrid/>
          <w:kern w:val="2"/>
          <w:sz w:val="28"/>
          <w:szCs w:val="28"/>
        </w:rPr>
      </w:pPr>
      <w:r>
        <w:rPr>
          <w:snapToGrid/>
          <w:kern w:val="2"/>
          <w:sz w:val="28"/>
          <w:szCs w:val="28"/>
        </w:rPr>
        <w:object>
          <v:shape id="_x0000_i1026" o:spt="75" type="#_x0000_t75" style="height:2.25pt;width:442.5pt;" o:ole="t" fillcolor="#FFFFFF" filled="f" o:preferrelative="t" stroked="f" coordsize="21600,21600">
            <v:path/>
            <v:fill on="f" focussize="0,0"/>
            <v:stroke on="f" joinstyle="miter"/>
            <v:imagedata r:id="rId7" o:title=""/>
            <o:lock v:ext="edit" aspectratio="f"/>
            <w10:wrap type="none"/>
            <w10:anchorlock/>
          </v:shape>
          <o:OLEObject Type="Embed" ProgID="MSDraw" ShapeID="_x0000_i1026" DrawAspect="Content" ObjectID="_1468075727" r:id="rId10">
            <o:LockedField>false</o:LockedField>
          </o:OLEObject>
        </w:object>
      </w:r>
    </w:p>
    <w:sectPr>
      <w:footerReference r:id="rId3" w:type="default"/>
      <w:footerReference r:id="rId4" w:type="even"/>
      <w:pgSz w:w="11906" w:h="16838"/>
      <w:pgMar w:top="1814" w:right="1531" w:bottom="1985" w:left="1531" w:header="720" w:footer="147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行楷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rPr>
        <w:rFonts w:ascii="宋体" w:hAnsi="宋体"/>
        <w:sz w:val="28"/>
        <w:szCs w:val="28"/>
      </w:rPr>
    </w:pPr>
    <w:r>
      <w:rPr>
        <w:rFonts w:hint="eastAsia" w:ascii="宋体" w:hAnsi="宋体"/>
        <w:sz w:val="28"/>
        <w:szCs w:val="28"/>
      </w:rP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w:t>
    </w:r>
    <w:r>
      <w:rPr>
        <w:sz w:val="28"/>
        <w:szCs w:val="28"/>
      </w:rPr>
      <w:fldChar w:fldCharType="end"/>
    </w:r>
    <w:r>
      <w:rPr>
        <w:sz w:val="28"/>
        <w:szCs w:val="28"/>
      </w:rPr>
      <w:t xml:space="preserve"> </w:t>
    </w:r>
    <w:r>
      <w:rPr>
        <w:rFonts w:hint="eastAsia" w:ascii="宋体" w:hAnsi="宋体"/>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ascii="宋体" w:hAnsi="宋体"/>
      </w:rPr>
    </w:pPr>
    <w:r>
      <w:rPr>
        <w:rFonts w:hint="eastAsia" w:ascii="宋体" w:hAnsi="宋体"/>
        <w:sz w:val="28"/>
        <w:szCs w:val="28"/>
      </w:rP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sz w:val="28"/>
        <w:szCs w:val="28"/>
      </w:rPr>
      <w:t xml:space="preserve"> </w:t>
    </w:r>
    <w:r>
      <w:rPr>
        <w:rFonts w:hint="eastAsia" w:ascii="宋体" w:hAnsi="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A77F1"/>
    <w:rsid w:val="00012362"/>
    <w:rsid w:val="00016F61"/>
    <w:rsid w:val="00025DD6"/>
    <w:rsid w:val="000418E3"/>
    <w:rsid w:val="00043ACC"/>
    <w:rsid w:val="0004765E"/>
    <w:rsid w:val="000518C5"/>
    <w:rsid w:val="000530EE"/>
    <w:rsid w:val="00057752"/>
    <w:rsid w:val="00057B11"/>
    <w:rsid w:val="0006633A"/>
    <w:rsid w:val="0007207E"/>
    <w:rsid w:val="000762FF"/>
    <w:rsid w:val="00086C0C"/>
    <w:rsid w:val="00091B68"/>
    <w:rsid w:val="00093EB5"/>
    <w:rsid w:val="00096B21"/>
    <w:rsid w:val="00097C75"/>
    <w:rsid w:val="000C2454"/>
    <w:rsid w:val="000D2268"/>
    <w:rsid w:val="000E6755"/>
    <w:rsid w:val="000E69B2"/>
    <w:rsid w:val="000E6D77"/>
    <w:rsid w:val="000F1042"/>
    <w:rsid w:val="000F13C1"/>
    <w:rsid w:val="00100373"/>
    <w:rsid w:val="00120C4C"/>
    <w:rsid w:val="00123C70"/>
    <w:rsid w:val="001278E7"/>
    <w:rsid w:val="00154299"/>
    <w:rsid w:val="00160349"/>
    <w:rsid w:val="00165019"/>
    <w:rsid w:val="001673EA"/>
    <w:rsid w:val="00191250"/>
    <w:rsid w:val="001A75DD"/>
    <w:rsid w:val="001B0F00"/>
    <w:rsid w:val="001C06D9"/>
    <w:rsid w:val="001C4461"/>
    <w:rsid w:val="001D5E58"/>
    <w:rsid w:val="002068BC"/>
    <w:rsid w:val="002162DD"/>
    <w:rsid w:val="00227CD3"/>
    <w:rsid w:val="0023000B"/>
    <w:rsid w:val="00261372"/>
    <w:rsid w:val="00272BD8"/>
    <w:rsid w:val="0028396C"/>
    <w:rsid w:val="00286B34"/>
    <w:rsid w:val="00295664"/>
    <w:rsid w:val="00296CF8"/>
    <w:rsid w:val="002A4B09"/>
    <w:rsid w:val="002B2456"/>
    <w:rsid w:val="002B4CD4"/>
    <w:rsid w:val="002D3596"/>
    <w:rsid w:val="002D3B70"/>
    <w:rsid w:val="002E354B"/>
    <w:rsid w:val="002F4617"/>
    <w:rsid w:val="002F5925"/>
    <w:rsid w:val="00307337"/>
    <w:rsid w:val="00330662"/>
    <w:rsid w:val="003506F8"/>
    <w:rsid w:val="00354F4D"/>
    <w:rsid w:val="00357D4D"/>
    <w:rsid w:val="00362E79"/>
    <w:rsid w:val="0037290C"/>
    <w:rsid w:val="00381A21"/>
    <w:rsid w:val="0038548B"/>
    <w:rsid w:val="00386CE9"/>
    <w:rsid w:val="0039092A"/>
    <w:rsid w:val="0039162A"/>
    <w:rsid w:val="00392993"/>
    <w:rsid w:val="003950AA"/>
    <w:rsid w:val="003960D2"/>
    <w:rsid w:val="003A432F"/>
    <w:rsid w:val="003A5E03"/>
    <w:rsid w:val="003A6C5A"/>
    <w:rsid w:val="003A7E71"/>
    <w:rsid w:val="003B355B"/>
    <w:rsid w:val="003B6906"/>
    <w:rsid w:val="003C6317"/>
    <w:rsid w:val="00403ADA"/>
    <w:rsid w:val="00403E21"/>
    <w:rsid w:val="0040495F"/>
    <w:rsid w:val="004204E0"/>
    <w:rsid w:val="004242E6"/>
    <w:rsid w:val="004253C5"/>
    <w:rsid w:val="00427C59"/>
    <w:rsid w:val="004335AC"/>
    <w:rsid w:val="004352C4"/>
    <w:rsid w:val="00441601"/>
    <w:rsid w:val="00443358"/>
    <w:rsid w:val="00451008"/>
    <w:rsid w:val="004535ED"/>
    <w:rsid w:val="00466D9C"/>
    <w:rsid w:val="00475BB8"/>
    <w:rsid w:val="00482FFC"/>
    <w:rsid w:val="004831B1"/>
    <w:rsid w:val="00483B75"/>
    <w:rsid w:val="00484F35"/>
    <w:rsid w:val="00487A9C"/>
    <w:rsid w:val="00490263"/>
    <w:rsid w:val="00492A9E"/>
    <w:rsid w:val="005004EC"/>
    <w:rsid w:val="00503323"/>
    <w:rsid w:val="00517BD6"/>
    <w:rsid w:val="00520A4F"/>
    <w:rsid w:val="005313C9"/>
    <w:rsid w:val="005314B3"/>
    <w:rsid w:val="00540DD6"/>
    <w:rsid w:val="005426D4"/>
    <w:rsid w:val="00543D28"/>
    <w:rsid w:val="005545E1"/>
    <w:rsid w:val="00554F0B"/>
    <w:rsid w:val="00565AF3"/>
    <w:rsid w:val="00596A8E"/>
    <w:rsid w:val="005A7CDD"/>
    <w:rsid w:val="005B568B"/>
    <w:rsid w:val="005C199A"/>
    <w:rsid w:val="005C6D42"/>
    <w:rsid w:val="005E3AA9"/>
    <w:rsid w:val="005E6146"/>
    <w:rsid w:val="005F2F2E"/>
    <w:rsid w:val="005F5A4D"/>
    <w:rsid w:val="005F5B21"/>
    <w:rsid w:val="00602519"/>
    <w:rsid w:val="006034CE"/>
    <w:rsid w:val="00605A48"/>
    <w:rsid w:val="00621DDD"/>
    <w:rsid w:val="00633969"/>
    <w:rsid w:val="00633DBB"/>
    <w:rsid w:val="00641010"/>
    <w:rsid w:val="00641FE7"/>
    <w:rsid w:val="006602B4"/>
    <w:rsid w:val="00667E8E"/>
    <w:rsid w:val="00677E3F"/>
    <w:rsid w:val="00691AAD"/>
    <w:rsid w:val="006B7A3B"/>
    <w:rsid w:val="006C01C4"/>
    <w:rsid w:val="006C3F50"/>
    <w:rsid w:val="006D24B0"/>
    <w:rsid w:val="006D3F93"/>
    <w:rsid w:val="006D660C"/>
    <w:rsid w:val="006D7279"/>
    <w:rsid w:val="006E45C2"/>
    <w:rsid w:val="006E46B7"/>
    <w:rsid w:val="006F5DFD"/>
    <w:rsid w:val="007018BF"/>
    <w:rsid w:val="007048FF"/>
    <w:rsid w:val="0070721E"/>
    <w:rsid w:val="00707406"/>
    <w:rsid w:val="00707D92"/>
    <w:rsid w:val="0071277E"/>
    <w:rsid w:val="00722DB9"/>
    <w:rsid w:val="00727530"/>
    <w:rsid w:val="007326E1"/>
    <w:rsid w:val="00734BD4"/>
    <w:rsid w:val="007429CF"/>
    <w:rsid w:val="007560CE"/>
    <w:rsid w:val="007615F1"/>
    <w:rsid w:val="0076487C"/>
    <w:rsid w:val="00773BDF"/>
    <w:rsid w:val="00780C75"/>
    <w:rsid w:val="0078137B"/>
    <w:rsid w:val="007B7A1C"/>
    <w:rsid w:val="007C0EAD"/>
    <w:rsid w:val="007C5E6E"/>
    <w:rsid w:val="007C686A"/>
    <w:rsid w:val="007D10D6"/>
    <w:rsid w:val="007E73B9"/>
    <w:rsid w:val="007E7894"/>
    <w:rsid w:val="007F07F3"/>
    <w:rsid w:val="007F4AD3"/>
    <w:rsid w:val="008021C9"/>
    <w:rsid w:val="008271DE"/>
    <w:rsid w:val="00844708"/>
    <w:rsid w:val="00852E8C"/>
    <w:rsid w:val="00855BBC"/>
    <w:rsid w:val="00862EB0"/>
    <w:rsid w:val="008921BC"/>
    <w:rsid w:val="0089361A"/>
    <w:rsid w:val="008951B1"/>
    <w:rsid w:val="00896C52"/>
    <w:rsid w:val="008E16A7"/>
    <w:rsid w:val="0090662C"/>
    <w:rsid w:val="00927D2D"/>
    <w:rsid w:val="00935756"/>
    <w:rsid w:val="0096372E"/>
    <w:rsid w:val="009643E5"/>
    <w:rsid w:val="00965457"/>
    <w:rsid w:val="009669F6"/>
    <w:rsid w:val="009859FD"/>
    <w:rsid w:val="00986B5E"/>
    <w:rsid w:val="00991502"/>
    <w:rsid w:val="009A4C51"/>
    <w:rsid w:val="009A77F1"/>
    <w:rsid w:val="009B38E4"/>
    <w:rsid w:val="009B70E9"/>
    <w:rsid w:val="009C2A7F"/>
    <w:rsid w:val="009D0983"/>
    <w:rsid w:val="009D3338"/>
    <w:rsid w:val="009E6914"/>
    <w:rsid w:val="009F277C"/>
    <w:rsid w:val="00A036C9"/>
    <w:rsid w:val="00A1254D"/>
    <w:rsid w:val="00A1718E"/>
    <w:rsid w:val="00A204BA"/>
    <w:rsid w:val="00A221E6"/>
    <w:rsid w:val="00A30197"/>
    <w:rsid w:val="00A339D3"/>
    <w:rsid w:val="00A501B4"/>
    <w:rsid w:val="00A62804"/>
    <w:rsid w:val="00A662CA"/>
    <w:rsid w:val="00A707A7"/>
    <w:rsid w:val="00A7275B"/>
    <w:rsid w:val="00A936C6"/>
    <w:rsid w:val="00A93EA0"/>
    <w:rsid w:val="00A97612"/>
    <w:rsid w:val="00AA0EFD"/>
    <w:rsid w:val="00AA785D"/>
    <w:rsid w:val="00AB47BA"/>
    <w:rsid w:val="00AB5171"/>
    <w:rsid w:val="00AC48DF"/>
    <w:rsid w:val="00AD3663"/>
    <w:rsid w:val="00AE2358"/>
    <w:rsid w:val="00AE2BFC"/>
    <w:rsid w:val="00AE4E00"/>
    <w:rsid w:val="00AE5967"/>
    <w:rsid w:val="00AE5EB9"/>
    <w:rsid w:val="00AF05EE"/>
    <w:rsid w:val="00AF3CA7"/>
    <w:rsid w:val="00AF533A"/>
    <w:rsid w:val="00AF66AD"/>
    <w:rsid w:val="00AF6997"/>
    <w:rsid w:val="00B03083"/>
    <w:rsid w:val="00B03E7F"/>
    <w:rsid w:val="00B21C92"/>
    <w:rsid w:val="00B273D4"/>
    <w:rsid w:val="00B30F9E"/>
    <w:rsid w:val="00B34160"/>
    <w:rsid w:val="00B41876"/>
    <w:rsid w:val="00B467A8"/>
    <w:rsid w:val="00B51D02"/>
    <w:rsid w:val="00B52CF1"/>
    <w:rsid w:val="00B545DB"/>
    <w:rsid w:val="00B730FA"/>
    <w:rsid w:val="00B84ABD"/>
    <w:rsid w:val="00B916AA"/>
    <w:rsid w:val="00B95A32"/>
    <w:rsid w:val="00B95C83"/>
    <w:rsid w:val="00B96EF2"/>
    <w:rsid w:val="00BC373C"/>
    <w:rsid w:val="00BD589D"/>
    <w:rsid w:val="00BE2CBC"/>
    <w:rsid w:val="00BF3B8C"/>
    <w:rsid w:val="00C014A6"/>
    <w:rsid w:val="00C0618D"/>
    <w:rsid w:val="00C11548"/>
    <w:rsid w:val="00C1202C"/>
    <w:rsid w:val="00C14990"/>
    <w:rsid w:val="00C20291"/>
    <w:rsid w:val="00C2260D"/>
    <w:rsid w:val="00C417DF"/>
    <w:rsid w:val="00C41B6D"/>
    <w:rsid w:val="00C45C45"/>
    <w:rsid w:val="00C50889"/>
    <w:rsid w:val="00C51D49"/>
    <w:rsid w:val="00C57FEA"/>
    <w:rsid w:val="00C623F0"/>
    <w:rsid w:val="00C66D47"/>
    <w:rsid w:val="00C7418B"/>
    <w:rsid w:val="00C76979"/>
    <w:rsid w:val="00C83871"/>
    <w:rsid w:val="00C85F1C"/>
    <w:rsid w:val="00C87623"/>
    <w:rsid w:val="00CA2E26"/>
    <w:rsid w:val="00CE3E60"/>
    <w:rsid w:val="00CF2D3D"/>
    <w:rsid w:val="00CF5F77"/>
    <w:rsid w:val="00CF6E8A"/>
    <w:rsid w:val="00CF72BB"/>
    <w:rsid w:val="00D02B59"/>
    <w:rsid w:val="00D1536A"/>
    <w:rsid w:val="00D228BC"/>
    <w:rsid w:val="00D267B4"/>
    <w:rsid w:val="00D41132"/>
    <w:rsid w:val="00D5487B"/>
    <w:rsid w:val="00D64DB6"/>
    <w:rsid w:val="00D7221A"/>
    <w:rsid w:val="00D766A4"/>
    <w:rsid w:val="00D87051"/>
    <w:rsid w:val="00DA2CDB"/>
    <w:rsid w:val="00DA329D"/>
    <w:rsid w:val="00DB5B75"/>
    <w:rsid w:val="00DC2C02"/>
    <w:rsid w:val="00DC59F3"/>
    <w:rsid w:val="00DD4EE4"/>
    <w:rsid w:val="00DE01AE"/>
    <w:rsid w:val="00DE2AEC"/>
    <w:rsid w:val="00DF3B2E"/>
    <w:rsid w:val="00E019ED"/>
    <w:rsid w:val="00E07C28"/>
    <w:rsid w:val="00E20473"/>
    <w:rsid w:val="00E50CE0"/>
    <w:rsid w:val="00E52D7C"/>
    <w:rsid w:val="00E60F66"/>
    <w:rsid w:val="00E8003A"/>
    <w:rsid w:val="00E833AC"/>
    <w:rsid w:val="00E94F1A"/>
    <w:rsid w:val="00EA11F6"/>
    <w:rsid w:val="00EA2743"/>
    <w:rsid w:val="00EA2D90"/>
    <w:rsid w:val="00EA3115"/>
    <w:rsid w:val="00EA653A"/>
    <w:rsid w:val="00EC0972"/>
    <w:rsid w:val="00EC34E7"/>
    <w:rsid w:val="00EC4076"/>
    <w:rsid w:val="00EC6A8B"/>
    <w:rsid w:val="00EC6B5C"/>
    <w:rsid w:val="00ED11C8"/>
    <w:rsid w:val="00EE48BE"/>
    <w:rsid w:val="00F002A0"/>
    <w:rsid w:val="00F03D81"/>
    <w:rsid w:val="00F04093"/>
    <w:rsid w:val="00F10D3A"/>
    <w:rsid w:val="00F1571A"/>
    <w:rsid w:val="00F17B67"/>
    <w:rsid w:val="00F236DA"/>
    <w:rsid w:val="00F27CF7"/>
    <w:rsid w:val="00F45AEC"/>
    <w:rsid w:val="00F46093"/>
    <w:rsid w:val="00F55C19"/>
    <w:rsid w:val="00F6237C"/>
    <w:rsid w:val="00F67B68"/>
    <w:rsid w:val="00F84E39"/>
    <w:rsid w:val="00F96E75"/>
    <w:rsid w:val="00F97C58"/>
    <w:rsid w:val="00FA58E3"/>
    <w:rsid w:val="00FC3445"/>
    <w:rsid w:val="00FD22E8"/>
    <w:rsid w:val="00FE06DE"/>
    <w:rsid w:val="00FE3977"/>
    <w:rsid w:val="00FE4361"/>
    <w:rsid w:val="19130BE2"/>
    <w:rsid w:val="6A297CD0"/>
    <w:rsid w:val="779B514B"/>
    <w:rsid w:val="780414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99"/>
    <w:pPr>
      <w:spacing w:after="120"/>
    </w:pPr>
  </w:style>
  <w:style w:type="paragraph" w:styleId="3">
    <w:name w:val="Body Text 2"/>
    <w:basedOn w:val="1"/>
    <w:qFormat/>
    <w:uiPriority w:val="0"/>
    <w:pPr>
      <w:spacing w:after="120" w:line="480" w:lineRule="auto"/>
    </w:pPr>
  </w:style>
  <w:style w:type="paragraph" w:styleId="4">
    <w:name w:val="Normal Indent"/>
    <w:basedOn w:val="1"/>
    <w:qFormat/>
    <w:uiPriority w:val="0"/>
    <w:pPr>
      <w:ind w:firstLine="420" w:firstLineChars="200"/>
    </w:pPr>
  </w:style>
  <w:style w:type="paragraph" w:styleId="5">
    <w:name w:val="Date"/>
    <w:basedOn w:val="1"/>
    <w:next w:val="1"/>
    <w:link w:val="22"/>
    <w:semiHidden/>
    <w:unhideWhenUsed/>
    <w:qFormat/>
    <w:uiPriority w:val="99"/>
    <w:pPr>
      <w:ind w:left="100" w:leftChars="2500"/>
    </w:p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0"/>
    <w:pPr>
      <w:widowControl/>
      <w:spacing w:before="100" w:beforeAutospacing="1" w:after="100" w:afterAutospacing="1"/>
      <w:jc w:val="left"/>
    </w:pPr>
    <w:rPr>
      <w:rFonts w:ascii="宋体" w:hAnsi="宋体" w:cs="宋体"/>
      <w:kern w:val="0"/>
      <w:sz w:val="24"/>
    </w:rPr>
  </w:style>
  <w:style w:type="character" w:styleId="11">
    <w:name w:val="Emphasis"/>
    <w:basedOn w:val="10"/>
    <w:qFormat/>
    <w:uiPriority w:val="20"/>
    <w:rPr>
      <w:color w:val="CC0000"/>
    </w:rPr>
  </w:style>
  <w:style w:type="character" w:styleId="12">
    <w:name w:val="Hyperlink"/>
    <w:basedOn w:val="10"/>
    <w:semiHidden/>
    <w:unhideWhenUsed/>
    <w:qFormat/>
    <w:uiPriority w:val="99"/>
    <w:rPr>
      <w:color w:val="0000CC"/>
      <w:u w:val="single"/>
    </w:rPr>
  </w:style>
  <w:style w:type="character" w:customStyle="1" w:styleId="13">
    <w:name w:val="页眉 Char"/>
    <w:basedOn w:val="10"/>
    <w:link w:val="7"/>
    <w:semiHidden/>
    <w:qFormat/>
    <w:uiPriority w:val="99"/>
    <w:rPr>
      <w:sz w:val="18"/>
      <w:szCs w:val="18"/>
    </w:rPr>
  </w:style>
  <w:style w:type="character" w:customStyle="1" w:styleId="14">
    <w:name w:val="页脚 Char"/>
    <w:basedOn w:val="10"/>
    <w:link w:val="6"/>
    <w:qFormat/>
    <w:uiPriority w:val="99"/>
    <w:rPr>
      <w:sz w:val="18"/>
      <w:szCs w:val="18"/>
    </w:rPr>
  </w:style>
  <w:style w:type="paragraph" w:customStyle="1" w:styleId="15">
    <w:name w:val="标题1"/>
    <w:basedOn w:val="1"/>
    <w:next w:val="1"/>
    <w:uiPriority w:val="0"/>
    <w:pPr>
      <w:tabs>
        <w:tab w:val="left" w:pos="9193"/>
        <w:tab w:val="left" w:pos="9827"/>
      </w:tabs>
      <w:autoSpaceDE w:val="0"/>
      <w:autoSpaceDN w:val="0"/>
      <w:snapToGrid w:val="0"/>
      <w:spacing w:line="700" w:lineRule="atLeast"/>
      <w:jc w:val="center"/>
    </w:pPr>
    <w:rPr>
      <w:rFonts w:ascii="方正小标宋_GBK" w:eastAsia="方正小标宋_GBK"/>
      <w:snapToGrid w:val="0"/>
      <w:kern w:val="0"/>
      <w:sz w:val="44"/>
      <w:szCs w:val="20"/>
    </w:rPr>
  </w:style>
  <w:style w:type="paragraph" w:styleId="16">
    <w:name w:val="List Paragraph"/>
    <w:basedOn w:val="1"/>
    <w:qFormat/>
    <w:uiPriority w:val="34"/>
    <w:pPr>
      <w:ind w:firstLine="420" w:firstLineChars="200"/>
    </w:pPr>
    <w:rPr>
      <w:rFonts w:ascii="Calibri" w:hAnsi="Calibri"/>
    </w:rPr>
  </w:style>
  <w:style w:type="paragraph" w:customStyle="1" w:styleId="17">
    <w:name w:val="p0"/>
    <w:basedOn w:val="1"/>
    <w:qFormat/>
    <w:uiPriority w:val="0"/>
    <w:pPr>
      <w:widowControl/>
    </w:pPr>
    <w:rPr>
      <w:kern w:val="0"/>
      <w:szCs w:val="21"/>
    </w:rPr>
  </w:style>
  <w:style w:type="paragraph" w:customStyle="1" w:styleId="18">
    <w:name w:val="p16"/>
    <w:basedOn w:val="1"/>
    <w:qFormat/>
    <w:uiPriority w:val="0"/>
    <w:pPr>
      <w:widowControl/>
    </w:pPr>
    <w:rPr>
      <w:kern w:val="0"/>
      <w:szCs w:val="21"/>
    </w:rPr>
  </w:style>
  <w:style w:type="paragraph" w:customStyle="1" w:styleId="19">
    <w:name w:val="抄送栏"/>
    <w:basedOn w:val="1"/>
    <w:qFormat/>
    <w:uiPriority w:val="0"/>
    <w:pPr>
      <w:autoSpaceDE w:val="0"/>
      <w:autoSpaceDN w:val="0"/>
      <w:adjustRightInd w:val="0"/>
      <w:spacing w:line="454" w:lineRule="atLeast"/>
      <w:ind w:left="1310" w:right="357" w:hanging="953"/>
    </w:pPr>
    <w:rPr>
      <w:rFonts w:eastAsia="方正仿宋_GBK"/>
      <w:snapToGrid w:val="0"/>
      <w:kern w:val="0"/>
      <w:sz w:val="32"/>
      <w:szCs w:val="20"/>
    </w:rPr>
  </w:style>
  <w:style w:type="paragraph" w:customStyle="1" w:styleId="20">
    <w:name w:val="线型"/>
    <w:basedOn w:val="19"/>
    <w:qFormat/>
    <w:uiPriority w:val="0"/>
    <w:pPr>
      <w:spacing w:line="240" w:lineRule="auto"/>
      <w:ind w:left="0" w:firstLine="0"/>
      <w:jc w:val="center"/>
    </w:pPr>
    <w:rPr>
      <w:sz w:val="21"/>
    </w:rPr>
  </w:style>
  <w:style w:type="paragraph" w:customStyle="1" w:styleId="21">
    <w:name w:val="印发栏"/>
    <w:basedOn w:val="4"/>
    <w:qFormat/>
    <w:uiPriority w:val="0"/>
    <w:pPr>
      <w:tabs>
        <w:tab w:val="right" w:pos="8465"/>
      </w:tabs>
      <w:autoSpaceDE w:val="0"/>
      <w:autoSpaceDN w:val="0"/>
      <w:adjustRightInd w:val="0"/>
      <w:spacing w:line="454" w:lineRule="atLeast"/>
      <w:ind w:left="357" w:right="357" w:firstLine="0" w:firstLineChars="0"/>
      <w:jc w:val="left"/>
    </w:pPr>
    <w:rPr>
      <w:rFonts w:eastAsia="方正仿宋_GBK"/>
      <w:snapToGrid w:val="0"/>
      <w:kern w:val="0"/>
      <w:sz w:val="32"/>
      <w:szCs w:val="20"/>
    </w:rPr>
  </w:style>
  <w:style w:type="character" w:customStyle="1" w:styleId="22">
    <w:name w:val="日期 Char"/>
    <w:basedOn w:val="10"/>
    <w:link w:val="5"/>
    <w:semiHidden/>
    <w:qFormat/>
    <w:uiPriority w:val="99"/>
    <w:rPr>
      <w:rFonts w:ascii="Times New Roman" w:hAnsi="Times New Roman"/>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2.wmf"/><Relationship Id="rId8" Type="http://schemas.openxmlformats.org/officeDocument/2006/relationships/oleObject" Target="embeddings/oleObject2.bin"/><Relationship Id="rId7" Type="http://schemas.openxmlformats.org/officeDocument/2006/relationships/image" Target="media/image1.w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Company>
  <Pages>2</Pages>
  <Words>43</Words>
  <Characters>246</Characters>
  <Lines>2</Lines>
  <Paragraphs>1</Paragraphs>
  <TotalTime>0</TotalTime>
  <ScaleCrop>false</ScaleCrop>
  <LinksUpToDate>false</LinksUpToDate>
  <CharactersWithSpaces>288</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2020-05-15T01:28:00Z</dcterms:created>
  <dc:creator>admin</dc:creator>
  <cp:lastModifiedBy>NTKO</cp:lastModifiedBy>
  <cp:lastPrinted>2017-11-27T08:33:00Z</cp:lastPrinted>
  <dcterms:modified xsi:type="dcterms:W3CDTF">2022-05-30T01:42:17Z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52FD4777D3DF4892BEBF919A993958F8</vt:lpwstr>
  </property>
</Properties>
</file>